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DocTitle"/>
      </w:pPr>
      <w:r>
        <w:t xml:space="preserve">The Domain Release Clause</w:t>
      </w:r>
    </w:p>
    <w:p>
      <w:pPr>
        <w:pStyle w:val="DocMeta"/>
      </w:pPr>
      <w:r>
        <w:t xml:space="preserve">Version 1.0  ·  30 September 2026  ·  Jonathan Harbourne  ·  CC BY 4.0</w:t>
      </w:r>
    </w:p>
    <w:p>
      <w:pPr>
        <w:pStyle w:val="BodyText"/>
      </w:pPr>
      <w:r>
        <w:t xml:space="preserve">A clause to add to a domain name policy you already have, covering the one thing most policies leave out: what has to be checked before an organisation gives up a web address. Paste it into your existing policy as a numbered section, under a heading such as “Releasing a domain”. Change “this organisation” to your own name if your policy is written that way, and adjust paragraph 5 to match how you contract with suppliers.</w:t>
      </w:r>
    </w:p>
    <w:p>
      <w:pPr>
        <w:pStyle w:val="SectionHeading"/>
      </w:pPr>
      <w:r>
        <w:t xml:space="preserve">The clause</w:t>
      </w:r>
    </w:p>
    <w:p>
      <w:pPr>
        <w:pStyle w:val="ClauseItem"/>
        <w:numPr>
          <w:ilvl w:val="0"/>
          <w:numId w:val="2"/>
        </w:numPr>
      </w:pPr>
      <w:r>
        <w:t xml:space="preserve">No domain name registered to, or on behalf of, this organisation shall be released, allowed to lapse, or transferred outside the organisation until the checks at paragraph 2 have been completed and recorded.</w:t>
      </w:r>
    </w:p>
    <w:p>
      <w:pPr>
        <w:pStyle w:val="ClauseItem"/>
        <w:numPr>
          <w:ilvl w:val="0"/>
          <w:numId w:val="2"/>
        </w:numPr>
      </w:pPr>
      <w:r>
        <w:t xml:space="preserve">Before any release, lapse or transfer, a named individual shall record: what the address was used for and when it was last in use; what still links to it, including links from public bodies, funders, academic sources, the press and reference works; whether it carries the organisation’s name, or the name of a project, service or brand associated with it; and the decision taken, the reason for it, and who took it.</w:t>
      </w:r>
    </w:p>
    <w:p>
      <w:pPr>
        <w:pStyle w:val="ClauseItem"/>
        <w:numPr>
          <w:ilvl w:val="0"/>
          <w:numId w:val="2"/>
        </w:numPr>
      </w:pPr>
      <w:r>
        <w:t xml:space="preserve">Where those checks show that the address retains inbound links from third parties, or bears a name that could be mistaken for the organisation’s own, the presumption is retention. The address continues to be renewed and resolves either to the organisation’s current website or to a page stating plainly where the service has moved.</w:t>
      </w:r>
    </w:p>
    <w:p>
      <w:pPr>
        <w:pStyle w:val="ClauseItem"/>
        <w:numPr>
          <w:ilvl w:val="0"/>
          <w:numId w:val="2"/>
        </w:numPr>
      </w:pPr>
      <w:r>
        <w:t xml:space="preserve">This clause applies on a change of name, a merger, an acquisition, a rebrand, the end of a project, campaign or funded programme, the decommissioning of a website, and the winding up of the organisation. On winding up, responsibility for continued renewal is assigned in the same way as responsibility for the organisation’s other assets.</w:t>
      </w:r>
    </w:p>
    <w:p>
      <w:pPr>
        <w:pStyle w:val="ClauseItem"/>
        <w:numPr>
          <w:ilvl w:val="0"/>
          <w:numId w:val="2"/>
        </w:numPr>
      </w:pPr>
      <w:r>
        <w:t xml:space="preserve">Where a domain is registered by a supplier, contractor or agency on the organisation’s behalf, this clause forms part of the terms of that engagement, and the supplier shall not release, lapse or transfer the address without the organisation’s written instruction.</w:t>
      </w:r>
    </w:p>
    <w:p>
      <w:pPr>
        <w:pStyle w:val="ClauseItem"/>
        <w:numPr>
          <w:ilvl w:val="0"/>
          <w:numId w:val="2"/>
        </w:numPr>
      </w:pPr>
      <w:r>
        <w:t xml:space="preserve">The organisation keeps a record of the addresses it has released, and checks periodically what those addresses now serve.</w:t>
      </w:r>
    </w:p>
    <w:p>
      <w:pPr>
        <w:pStyle w:val="SectionHeading"/>
      </w:pPr>
      <w:r>
        <w:t xml:space="preserve">Licence</w:t>
      </w:r>
    </w:p>
    <w:p>
      <w:pPr>
        <w:pStyle w:val="BodyText"/>
      </w:pPr>
      <w:r>
        <w:t xml:space="preserve">The Domain Release Clause is published under a Creative Commons Attribution 4.0 International licence. You may copy it, adapt it and include it in your own policies, including commercially, provided you credit the source. Attribution inside an internal policy document is enough, and you do not need to ask. Licence terms: </w:t>
      </w:r>
      <w:hyperlink w:history="1" r:id="rIdokdydu-7lrxcjku_gkvhs">
        <w:r>
          <w:rPr>
            <w:rStyle w:val="Hyperlink"/>
          </w:rPr>
          <w:t xml:space="preserve">creativecommons.org/licenses/by/4.0/</w:t>
        </w:r>
      </w:hyperlink>
    </w:p>
    <w:p>
      <w:pPr>
        <w:pStyle w:val="Licence"/>
        <w:pBdr>
          <w:top w:val="single" w:color="CCCCCC" w:sz="6" w:space="8"/>
        </w:pBdr>
      </w:pPr>
      <w:r>
        <w:t xml:space="preserve">Harbourne, J. (2026) The Domain Release Clause, version 1.0. Available at jharbourne.com. Licensed under CC BY 4.0.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504" w:hanging="504"/>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Helvetica" w:cs="Helvetica" w:eastAsia="Helvetica" w:hAnsi="Helvetica"/>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DocTitle">
    <w:name w:val="Doc Title"/>
    <w:basedOn w:val="Normal"/>
    <w:next w:val="BodyText"/>
    <w:pPr>
      <w:spacing w:after="160" w:before="0" w:line="264"/>
    </w:pPr>
    <w:rPr>
      <w:rFonts w:ascii="Helvetica" w:cs="Helvetica" w:eastAsia="Helvetica" w:hAnsi="Helvetica"/>
      <w:b/>
      <w:bCs/>
      <w:sz w:val="30"/>
      <w:szCs w:val="30"/>
    </w:rPr>
  </w:style>
  <w:style w:type="paragraph" w:styleId="DocMeta">
    <w:name w:val="Doc Meta"/>
    <w:basedOn w:val="Normal"/>
    <w:next w:val="BodyText"/>
    <w:pPr>
      <w:spacing w:after="320" w:before="0" w:line="264"/>
    </w:pPr>
    <w:rPr>
      <w:rFonts w:ascii="Helvetica" w:cs="Helvetica" w:eastAsia="Helvetica" w:hAnsi="Helvetica"/>
      <w:color w:val="55555E"/>
      <w:sz w:val="19"/>
      <w:szCs w:val="19"/>
    </w:rPr>
  </w:style>
  <w:style w:type="paragraph" w:styleId="SectionHeading">
    <w:name w:val="Section Heading"/>
    <w:basedOn w:val="Normal"/>
    <w:next w:val="BodyText"/>
    <w:pPr>
      <w:keepNext/>
      <w:spacing w:after="140" w:before="320" w:line="264"/>
      <w:outlineLvl w:val="1"/>
    </w:pPr>
    <w:rPr>
      <w:rFonts w:ascii="Helvetica" w:cs="Helvetica" w:eastAsia="Helvetica" w:hAnsi="Helvetica"/>
      <w:b/>
      <w:bCs/>
      <w:sz w:val="24"/>
      <w:szCs w:val="24"/>
    </w:rPr>
  </w:style>
  <w:style w:type="paragraph" w:styleId="BodyText">
    <w:name w:val="Body Text"/>
    <w:basedOn w:val="Normal"/>
    <w:next w:val="BodyText"/>
    <w:pPr>
      <w:spacing w:after="200" w:before="0" w:line="264"/>
    </w:pPr>
    <w:rPr>
      <w:rFonts w:ascii="Helvetica" w:cs="Helvetica" w:eastAsia="Helvetica" w:hAnsi="Helvetica"/>
      <w:sz w:val="22"/>
      <w:szCs w:val="22"/>
    </w:rPr>
  </w:style>
  <w:style w:type="paragraph" w:styleId="ClauseItem">
    <w:name w:val="Clause Item"/>
    <w:basedOn w:val="Normal"/>
    <w:next w:val="ClauseItem"/>
    <w:pPr>
      <w:spacing w:after="180" w:before="0" w:line="264"/>
    </w:pPr>
    <w:rPr>
      <w:rFonts w:ascii="Helvetica" w:cs="Helvetica" w:eastAsia="Helvetica" w:hAnsi="Helvetica"/>
      <w:sz w:val="22"/>
      <w:szCs w:val="22"/>
    </w:rPr>
  </w:style>
  <w:style w:type="paragraph" w:styleId="Licence">
    <w:name w:val="Licence"/>
    <w:basedOn w:val="Normal"/>
    <w:next w:val="Licence"/>
    <w:pPr>
      <w:spacing w:after="120" w:before="240" w:line="264"/>
    </w:pPr>
    <w:rPr>
      <w:rFonts w:ascii="Helvetica" w:cs="Helvetica" w:eastAsia="Helvetica" w:hAnsi="Helvetica"/>
      <w:i/>
      <w:iCs/>
      <w:color w:val="55555E"/>
      <w:sz w:val="19"/>
      <w:szCs w:val="19"/>
    </w:rPr>
  </w:style>
  <w:style w:type="character" w:styleId="Hyperlink">
    <w:name w:val="Hyperlink"/>
    <w:basedOn w:val="DefaultParagraphFont"/>
    <w:uiPriority w:val="99"/>
    <w:unhideWhenUsed/>
    <w:rPr>
      <w:color w:val="0B5CAD"/>
      <w:u w:val="single"/>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kdydu-7lrxcjku_gkvhs" Type="http://schemas.openxmlformats.org/officeDocument/2006/relationships/hyperlink" Target="https://creativecommons.org/licenses/by/4.0/"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2026-09-30T12:40:32.809Z</dcterms:created>
  <dcterms:modified xsi:type="dcterms:W3CDTF">2026-09-30T12:40:32.816Z</dcterms:modified>
</cp:coreProperties>
</file>

<file path=docProps/custom.xml><?xml version="1.0" encoding="utf-8"?>
<Properties xmlns="http://schemas.openxmlformats.org/officeDocument/2006/custom-properties" xmlns:vt="http://schemas.openxmlformats.org/officeDocument/2006/docPropsVTypes"/>
</file>